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lang w:val="mn-MN"/>
        </w:rPr>
      </w:pPr>
      <w:r>
        <w:rPr>
          <w:rFonts w:ascii="Times New Roman" w:hAnsi="Times New Roman" w:eastAsia="Times New Roman" w:cs="Times New Roman"/>
          <w:b/>
          <w:lang w:val="mn-MN"/>
        </w:rPr>
        <w:t>3.ҮЙЛ АЖИЛЛАГААНЫ ТАЙЛАН, МЭДЭЭЛЭЛ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val="mn-M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i/>
          <w:lang w:val="mn-MN"/>
        </w:rPr>
      </w:pPr>
      <w:r>
        <w:rPr>
          <w:rFonts w:ascii="Times New Roman" w:hAnsi="Times New Roman" w:eastAsia="Times New Roman" w:cs="Times New Roman"/>
          <w:i/>
          <w:lang w:val="mn-MN"/>
        </w:rPr>
        <w:t>МАЯГТ №-8</w:t>
      </w:r>
      <w:r>
        <w:rPr>
          <w:rFonts w:ascii="Times New Roman" w:hAnsi="Times New Roman" w:eastAsia="Times New Roman" w:cs="Times New Roman"/>
          <w:b/>
          <w:lang w:val="mn-MN"/>
        </w:rPr>
        <w:t xml:space="preserve"> </w:t>
      </w:r>
      <w:r>
        <w:rPr>
          <w:rFonts w:ascii="Times New Roman" w:hAnsi="Times New Roman" w:eastAsia="Times New Roman" w:cs="Times New Roman"/>
          <w:i/>
          <w:lang w:val="mn-MN"/>
        </w:rPr>
        <w:t>ЖИЛИЙН ҮЙЛ АЖИЛЛАГААНЫ ТАЙЛАН</w:t>
      </w: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lang w:val="mn-MN"/>
        </w:rPr>
      </w:pPr>
      <w:r>
        <w:rPr>
          <w:rFonts w:ascii="Times New Roman" w:hAnsi="Times New Roman" w:eastAsia="Times New Roman" w:cs="Times New Roman"/>
          <w:i/>
          <w:lang w:val="mn-MN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lang w:val="mn-MN"/>
        </w:rPr>
        <w:t xml:space="preserve">                                                                             </w:t>
      </w:r>
    </w:p>
    <w:tbl>
      <w:tblPr>
        <w:tblStyle w:val="5"/>
        <w:tblW w:w="10434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3" w:hRule="atLeast"/>
        </w:trPr>
        <w:tc>
          <w:tcPr>
            <w:tcW w:w="10434" w:type="dxa"/>
          </w:tcPr>
          <w:p>
            <w:pPr>
              <w:keepNext/>
              <w:numPr>
                <w:ilvl w:val="1"/>
                <w:numId w:val="0"/>
              </w:numPr>
              <w:tabs>
                <w:tab w:val="left" w:pos="1440"/>
              </w:tabs>
              <w:spacing w:after="60" w:line="240" w:lineRule="auto"/>
              <w:ind w:left="360" w:hanging="720"/>
              <w:outlineLvl w:val="1"/>
              <w:rPr>
                <w:rFonts w:ascii="Times New Roman" w:hAnsi="Times New Roman" w:eastAsia="Times New Roman" w:cs="Times New Roman"/>
                <w:bCs/>
                <w:iCs/>
                <w:lang w:val="mn-M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95"/>
              <w:outlineLvl w:val="1"/>
              <w:rPr>
                <w:rFonts w:ascii="Times New Roman" w:hAnsi="Times New Roman" w:eastAsia="Times New Roman" w:cs="Times New Roman"/>
                <w:bCs/>
                <w:iCs/>
                <w:lang w:val="mn-M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Компанийн бизнесийн үйл ажиллагааны талаарх мэдээлэл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>
            <w:pPr>
              <w:keepNext/>
              <w:spacing w:after="60" w:line="240" w:lineRule="auto"/>
              <w:ind w:left="1440" w:hanging="720"/>
              <w:outlineLvl w:val="1"/>
              <w:rPr>
                <w:rFonts w:ascii="Times New Roman" w:hAnsi="Times New Roman" w:eastAsia="Times New Roman" w:cs="Times New Roman"/>
                <w:bCs/>
                <w:iCs/>
                <w:lang w:val="mn-MN"/>
              </w:rPr>
            </w:pPr>
          </w:p>
          <w:p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Компанийн түрээсийн орлогыг нэмэгдүүлэх, өдөр тутмын ашиглалтын зардал, барилгын урсгал засварын зардлуудыг багасган, хэмнэн ажиллахад анхааран ажиллаж байгаагаа Гүйцэтгэх удирдлага ТУЗ-ийн ээлжит хурлуудад байнга танилцуулж байсан .</w:t>
            </w:r>
          </w:p>
          <w:p>
            <w:pPr>
              <w:ind w:firstLine="100" w:firstLineChars="50"/>
              <w:jc w:val="both"/>
              <w:rPr>
                <w:rFonts w:hint="default" w:ascii="Arial" w:hAnsi="Arial" w:cs="Arial"/>
                <w:sz w:val="20"/>
                <w:szCs w:val="20"/>
                <w:highlight w:val="none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УИД ХК нь 201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онд 5,3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79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.4 сая төгрөгийн түрээсийн орлого олж, 5,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292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сая төгрөг</w:t>
            </w:r>
            <w:r>
              <w:rPr>
                <w:rFonts w:ascii="Arial" w:hAnsi="Arial" w:cs="Arial"/>
                <w:sz w:val="20"/>
                <w:szCs w:val="20"/>
                <w:highlight w:val="none"/>
                <w:lang w:val="mn-MN"/>
              </w:rPr>
              <w:t>ийн зардал гаргаж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87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төгрөгийн ашигтай ажилл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a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сан</w:t>
            </w:r>
            <w:r>
              <w:rPr>
                <w:rFonts w:ascii="Arial" w:hAnsi="Arial" w:cs="Arial"/>
                <w:sz w:val="20"/>
                <w:szCs w:val="20"/>
                <w:highlight w:val="none"/>
                <w:lang w:val="mn-MN"/>
              </w:rPr>
              <w:t xml:space="preserve">. </w:t>
            </w:r>
          </w:p>
          <w:p>
            <w:pPr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highlight w:val="none"/>
                <w:lang w:val="mn-MN"/>
              </w:rPr>
              <w:t xml:space="preserve">Компани нь татвараа үнэн зөв тодорхойлж, төлөх  тайлагнах үүргээ нэр төртэй биелүүлж нийгмийн хариуцлагаа үлгэр жишээ ухамсарлаж, эх орныхоо бүтээн байгуулалт хөгжил цэцэглэлтэнд бодитой хувь нэмэр оруулж ирсэн.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УИД ХК нь 201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онд улсын төсөвт 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304.6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none"/>
                <w:lang w:val="mn-MN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сая  төгрөгийн татвар төлжээ. </w:t>
            </w:r>
          </w:p>
          <w:p>
            <w:pPr>
              <w:ind w:firstLine="200" w:firstLineChars="10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highlight w:val="none"/>
                <w:lang w:val="mn-MN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highlight w:val="none"/>
                <w:lang w:val="mn-MN"/>
              </w:rPr>
              <w:t xml:space="preserve">Барилга засвар болон ашиглалт үйлчилгээний талаар: </w:t>
            </w:r>
          </w:p>
          <w:p>
            <w:pPr>
              <w:jc w:val="both"/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201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онд Улсын их дэлгүүрийн В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1-5 дугаар давхаруудын галын босоо магистраль шугам солих ажил, 1,5 давхрын гадна ханыг дотор талаас нь дулаалах ажил, 1-2 давхрын агаарын урсгалын хаалт хийх,  дэлгүүрийн барилгын агааржуулалтын системийн агаар боловсруулах төхөөрөмжийн дулаан хангамжийн шугамын засварын ажил, 7-р давхрын гэгээвчинд автоматаар онгойдог цонх гаргах ажил, давхаруудын хагарсан плитан шалыг шинэчлэх ажил,  дулааны узелийн өрөөний засварын ажил,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дэлгүүрийн барилгын нүүрэн талын шилэн фасадны хагарсан шилүүдийг сольж шинэчлэх ажил, цэвэр усны өргөлтийн системийн засвар шинэчлэлтийн ажил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болон бусад засварын ажлуудыг хийж гүйцэтгэлээ.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2019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онд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Улсын их дэлгүүрийн 5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;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6 дугаар давхарт агааржуулалтын иж бүрэн системийг суурилуулж угсарсан. </w:t>
            </w:r>
          </w:p>
          <w:p>
            <w:pPr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Мөн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эрчим хүчний үүрэг хүлээсэн хэрэглэгчийн хувьд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эрчим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хүчний тоног төхөөрөмжийн шат дамжлагад ээлжит  аудитыг хийлгэсэн.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    </w:t>
            </w:r>
          </w:p>
          <w:p>
            <w:pPr>
              <w:ind w:firstLine="200" w:firstLineChars="100"/>
              <w:jc w:val="both"/>
              <w:rPr>
                <w:rFonts w:ascii="Arial" w:hAnsi="Arial" w:cs="Arial"/>
                <w:b/>
                <w:sz w:val="20"/>
                <w:szCs w:val="20"/>
                <w:highlight w:val="none"/>
                <w:lang w:val="mn-MN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highlight w:val="none"/>
                <w:lang w:val="mn-MN"/>
              </w:rPr>
              <w:t>Санхүүгийн үйл ажиллагааны талаар:</w:t>
            </w:r>
            <w:r>
              <w:rPr>
                <w:rFonts w:ascii="Arial" w:hAnsi="Arial" w:cs="Arial"/>
                <w:b/>
                <w:sz w:val="20"/>
                <w:szCs w:val="20"/>
                <w:highlight w:val="none"/>
                <w:lang w:val="mn-MN"/>
              </w:rPr>
              <w:t xml:space="preserve"> </w:t>
            </w:r>
          </w:p>
          <w:p>
            <w:pPr>
              <w:ind w:firstLine="200" w:firstLineChars="100"/>
              <w:jc w:val="both"/>
              <w:rPr>
                <w:rFonts w:hint="default" w:ascii="Arial" w:hAnsi="Arial" w:cs="Arial"/>
                <w:b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none"/>
                <w:lang w:val="mn-MN"/>
              </w:rPr>
              <w:t>Тус компан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и өнгөрсөн онд нийт 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82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сая төгрөгийн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орлого олсон байна.  Т</w:t>
            </w:r>
            <w:r>
              <w:rPr>
                <w:rFonts w:ascii="Arial" w:hAnsi="Arial" w:cs="Arial"/>
                <w:sz w:val="20"/>
                <w:szCs w:val="20"/>
                <w:highlight w:val="none"/>
                <w:lang w:val="mn-MN"/>
              </w:rPr>
              <w:t xml:space="preserve">айлант хугацаанд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орлогын татварт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37.7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 төлж, 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87.4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төгрөгийн ашигтай ажилл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a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лаа. </w:t>
            </w:r>
          </w:p>
          <w:p>
            <w:pPr>
              <w:spacing w:after="120"/>
              <w:ind w:firstLine="720"/>
              <w:jc w:val="both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Тайлант хугацаанд </w:t>
            </w:r>
            <w:r>
              <w:rPr>
                <w:rFonts w:hint="default" w:ascii="Arial" w:hAnsi="Arial" w:cs="Arial"/>
                <w:sz w:val="20"/>
                <w:szCs w:val="20"/>
                <w:lang w:val="mn-MN"/>
              </w:rPr>
              <w:t xml:space="preserve">нийт 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en-US"/>
              </w:rPr>
              <w:t>52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mn-MN"/>
              </w:rPr>
              <w:t>84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en-US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mn-M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сая төгрөгийн зардал гарсан бөгөөд өмнөх онтой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харьцуулахад зардал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77.8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төгрөгөөр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буу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рсан байна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</w:p>
          <w:p>
            <w:pPr>
              <w:spacing w:after="120"/>
              <w:ind w:firstLine="720"/>
              <w:jc w:val="both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Үйл ажиллагааны зардлыг бүтцээр нь ангилж үзвэл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77.9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сая төгрөгийг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 хөдөлмөрийн зардал, 4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,2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76.0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ашиглалтын зардал,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2.7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141.0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барилгын урсгал засварын зардал, 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0.1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5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35.1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үндсэн хөрөнгийн элэгдлийн зардал, 3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.9 хувь буюу 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зээлийн хүүгийн зардал,  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40.5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үл хөдлөх хөрөнгийн болон газрын татвар,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4.1 хувь буюу 2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17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.4 сая төгрөгийг  бусад зардал эзэлж байна .</w:t>
            </w:r>
          </w:p>
          <w:p>
            <w:pPr>
              <w:ind w:firstLine="720"/>
              <w:jc w:val="both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Өнгөрсөн оны жилийн эцсийн байдлаар нийт хөрөнгийн дүн 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239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үүнээс эргэлтийн хөрөнгө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150.3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эргэлтийн бус хөрөнгө 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088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эзэлж байна. Эргэлтийн хөрөнгийн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24.9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37.4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мөнгө, авлага зэрэг түргэн хөрвөх хөрөнгө, 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6.9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 xml:space="preserve">5.4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сая төгрөгийг бараа материал,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58.2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87.5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урьдчилж гарсан зардал эзэлж байна. Эргэлтийн бус хөрөнгийн дийлэнх хувь болох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6 хувь буюу 14,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311.5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хуримтлагдсан элэгдэл нь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256.4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сая төгрөг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үндсэн хөрөнгө болох барилга байгууламж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машин тоног төхөөрөмж, тавилга, эд хогшил, 0.4 хувь буюу 33.8 сая төгрөгийг  урт хугацаат хөрөнгө оруулалт эзэлж байна. </w:t>
            </w:r>
          </w:p>
          <w:p>
            <w:pPr>
              <w:spacing w:after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Өр төлбөр ба Эзэмшигчдийн өмчийн хувьд бусдад төлөх өр төлбөрийн хэмжээ 9,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387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сая төгрөг, эзэмшигчдийн өмчийн дүн -1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 xml:space="preserve">,148.1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сая төгрөг байна. Бусдад төлөх өр төлбөрийн хэмжээ өнгөрсөн оны эцэст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832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 байснаас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хувиар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 xml:space="preserve">445.6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сая төгрөгөөр буур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сан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байна. Нийт өр төлбөрийн 97,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9,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183.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0 сая төгрөгийг зээл, зээлийн хүүгийн хуримтлагдсан өр  эзэлдэг бөгөөд өмнөх оны зээлийн үлдэгдлээс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4.0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хувиар буурсан байна. Эзэмшигчдийн өмч  оны эхэнд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-1.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235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 байснаас тухайн тайлант хугацаанд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 xml:space="preserve"> 87.4 сая төгрөгийн ашигтай ажиллаж ,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оны эцэст -1.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148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 болсон  байна.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ab/>
            </w:r>
          </w:p>
          <w:p>
            <w:pPr>
              <w:keepNext/>
              <w:spacing w:after="60" w:line="240" w:lineRule="auto"/>
              <w:ind w:left="1440" w:hanging="720"/>
              <w:outlineLvl w:val="1"/>
              <w:rPr>
                <w:rFonts w:ascii="Times New Roman" w:hAnsi="Times New Roman" w:eastAsia="Times New Roman" w:cs="Times New Roman"/>
                <w:bCs/>
                <w:iCs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УИД ХК нь 201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онд  ААНОАТатварт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37.7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НӨАТатварт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106.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үл хөдлөх хөрөнгө болон газрын албан татварт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 xml:space="preserve">140,5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сая төгрөг, ХХОАТатвар болон НДШимтгэлд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20.1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нийт дүнгээрээ 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304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төгрөгийг Улсын төвлөрсөн төсөвт төлсөн байна.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val="mn-MN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lang w:val="mn-M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color w:val="000000"/>
              </w:rPr>
              <w:t xml:space="preserve"> Удирдлагын талаарх мэдээлэл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lang w:val="mn-MN"/>
              </w:rPr>
              <w:t xml:space="preserve"> </w:t>
            </w:r>
          </w:p>
          <w:p>
            <w:pPr>
              <w:spacing w:after="0" w:line="240" w:lineRule="auto"/>
              <w:ind w:left="360"/>
              <w:contextualSpacing/>
              <w:rPr>
                <w:rFonts w:ascii="Times New Roman" w:hAnsi="Times New Roman" w:eastAsia="Calibri" w:cs="Times New Roman"/>
                <w:b/>
                <w:bCs/>
                <w:color w:val="00000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Тайлант хугацаанд “Улсын Их Дэлгүүр” ХК-ийн Төлөөлөн удирдах зөвлөлийн гишүүдээр С.Хосбаяр, Ш.Баярсайхан, А.Шагдарсүрэн, Р.Содном, А.Норсмаа, Б.Ариунжаргал, Төлөөлөн удирдах зөвлөлийн хараат бус гишүүдээр Д.Дашцэдэн, Л.Чулуунбаатар, Н.Батцацрал нар,  ТУЗ-ийн нарийн бичгийн даргаар В.Хүрэлхад, компанийн Гүйцэтгэх захирлаар С.Сайнбат, нягтлан бодогчоор Д.Чимгээ нар ажиллалаа.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lang w:val="mn-M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Cанхүүгийн байдлын талаарх мэдээлэл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val="mn-MN"/>
              </w:rPr>
            </w:pPr>
          </w:p>
          <w:p>
            <w:pPr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Тус компани нь 201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онд нийт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5,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3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82.7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төгрөгийн орлого олж, 5,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295.3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төгрөгийн зардал гарган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87.4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төгрөгийн ашигтай ажилласан байна. </w:t>
            </w:r>
          </w:p>
          <w:p>
            <w:pPr>
              <w:jc w:val="both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Тайлант хугацаанд Үйл ажиллагаанд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284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.3 сая төгрөгийн зардал гарсан  байна. Үйл ажиллагааны зардлыг ангилж үзвэл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83.5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цалин нийгмийн даатгалын шимтгэл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, боловсон хүчний зардал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2.7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14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1.0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барилгын урсгал засварын зардал,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10.1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5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35.1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үндсэн хөрөнгийн элэгдэл, 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2.0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107.5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даатгалын зардал,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17.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5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923.4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төгрөгийн харуул хамгаалалтын зардал, 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3.1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хувь буюу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6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93.3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сая төгрөгийн цэвэрлэгээ үйлчилгээний зардал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,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9.7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513.2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төгрөгийн инженерийн шугам сүлжээний засвар сэлбэгийн зардал,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2.8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146.1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сая төгрөгийн цахилгаан дулаан усны зардал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,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35.9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1,896.4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зээлийн хүүгийн зардал, 2.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хувь буюу 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40.5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үл хөдлөх хөрөнгийн болон газрын албан татварын зардал, 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хувь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 xml:space="preserve">104.3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сая төгрөгийн зар сурталчилгаа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шуудан холбоо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бичиг хэрэг, үйлчилгээний  зардал тус тус эзэлж байна.</w:t>
            </w:r>
          </w:p>
          <w:p>
            <w:pPr>
              <w:ind w:firstLine="700" w:firstLineChars="35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mn-MN"/>
              </w:rPr>
              <w:t>Авлага, өглөгийн талаар: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Оны эхэнд дансны авлага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1.9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 байснаас оны эцэст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37.2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сая төгрөг болсон байна. Авлагыг ангилж үзвэл худалдан авагчдаас авах авлага  11.2 сая төгрөг, дотоодын бэлтгэн нийлүүлэгчдээс авах авлага  5.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найдваргүй авлагын хасагдуулгын нөөцийн сан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(16.7)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нэмэгдсэн өртгийн албан татварын авлага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22.7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 орлогын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 xml:space="preserve"> албан татварын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авлага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 xml:space="preserve">14,4 сая төгрөг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байна. Авлагын үлдэгдлийг хянахад татварын авлага гол хувийг эзэлж байна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</w:t>
            </w:r>
          </w:p>
          <w:p>
            <w:pPr>
              <w:ind w:firstLine="100" w:firstLineChars="50"/>
              <w:jc w:val="both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Оны эхэнд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9,832.9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өглөгтэй байснаас оны эцэст 9,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 xml:space="preserve">387.3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сая төгрөг болж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445.6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төгрөгөөр буюу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4.7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хувиар буурсан байна. Дансны өрийг ангилж үзвэл дотоодын бэлтгэн нийлүүлэгчдэд өгөх өр 2.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хувь буюу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 xml:space="preserve"> 188.9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төгрөг,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ногдол ашгийн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өр 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хувь буюу 15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.4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сая төгрөг,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зээл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зээлийн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 xml:space="preserve"> хүүгийн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өр 97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хувь буюу 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mn-MN"/>
              </w:rPr>
              <w:t>183.0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сая төгрөг тус тус эзэлж байна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 </w:t>
            </w:r>
          </w:p>
          <w:p>
            <w:pPr>
              <w:ind w:firstLine="300" w:firstLineChars="15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mn-MN"/>
              </w:rPr>
              <w:t>Үндсэн хөрөнгийн талаар: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201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оны эцэст цэвэр дүнгээр 8,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055.1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 үндсэн хөрөнгөтэй  ба тайлант жилд 5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35.1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сая төгрөгийн элэгдэл байгуулж зардалд тооцсон байна.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val="mn-MN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mn-MN"/>
              </w:rPr>
              <w:t>ТУЗ-ийн төсвийн зарцуулалт: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Өмнөх оны бүх гишүүдийн хурлаар 201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 xml:space="preserve"> онд ТУЗ-ийн зардалд 11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сая т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өгрөг төлөвлөсөн ба тайлант хугацаанд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>1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.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7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c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ая төгрөгийн ТУЗ-ийн гишүүдийн цалин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НДШ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, ТУЗ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>-н болон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none"/>
                <w:lang w:val="mn-MN"/>
              </w:rPr>
              <w:t xml:space="preserve"> хувьцаа эзэмшигчдийн хурлын зардал г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арсан байна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val="mn-M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val="mn-M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val="mn-MN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color w:val="000000"/>
              </w:rPr>
              <w:t>Хувьцаа эзэмшигчдийн талаарх мэдээлэл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lang w:val="mn-MN"/>
              </w:rPr>
              <w:t xml:space="preserve"> </w:t>
            </w:r>
          </w:p>
          <w:p>
            <w:pPr>
              <w:spacing w:after="0" w:line="240" w:lineRule="auto"/>
              <w:ind w:left="360"/>
              <w:contextualSpacing/>
              <w:rPr>
                <w:rFonts w:ascii="Times New Roman" w:hAnsi="Times New Roman" w:eastAsia="Calibri" w:cs="Times New Roman"/>
                <w:color w:val="000000"/>
                <w:lang w:val="mn-MN"/>
              </w:rPr>
            </w:pPr>
          </w:p>
          <w:tbl>
            <w:tblPr>
              <w:tblW w:w="8017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31"/>
              <w:gridCol w:w="1391"/>
              <w:gridCol w:w="1186"/>
              <w:gridCol w:w="1595"/>
              <w:gridCol w:w="1678"/>
              <w:gridCol w:w="1636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</w:trPr>
              <w:tc>
                <w:tcPr>
                  <w:tcW w:w="531" w:type="dxa"/>
                  <w:tcBorders>
                    <w:top w:val="nil"/>
                    <w:left w:val="single" w:color="DDDDDD" w:sz="6" w:space="0"/>
                    <w:bottom w:val="single" w:color="DDDDDD" w:sz="12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bottom"/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Д/д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single" w:color="DDDDDD" w:sz="6" w:space="0"/>
                    <w:bottom w:val="single" w:color="DDDDDD" w:sz="12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bottom"/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Ангилал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single" w:color="DDDDDD" w:sz="6" w:space="0"/>
                    <w:bottom w:val="single" w:color="DDDDDD" w:sz="12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bottom"/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Улсын нэр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single" w:color="DDDDDD" w:sz="6" w:space="0"/>
                    <w:bottom w:val="single" w:color="DDDDDD" w:sz="12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bottom"/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Эцэг/эх/-ийн нэр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color="DDDDDD" w:sz="6" w:space="0"/>
                    <w:bottom w:val="single" w:color="DDDDDD" w:sz="12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bottom"/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Нэр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single" w:color="DDDDDD" w:sz="6" w:space="0"/>
                    <w:bottom w:val="single" w:color="DDDDDD" w:sz="12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bottom"/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b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Бүртгэсэн огноо</w:t>
                  </w: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3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9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Иргэн</w:t>
                  </w:r>
                </w:p>
              </w:tc>
              <w:tc>
                <w:tcPr>
                  <w:tcW w:w="11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Монгол</w:t>
                  </w:r>
                </w:p>
              </w:tc>
              <w:tc>
                <w:tcPr>
                  <w:tcW w:w="159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Рэнцэн</w:t>
                  </w:r>
                </w:p>
              </w:tc>
              <w:tc>
                <w:tcPr>
                  <w:tcW w:w="1678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Содном</w:t>
                  </w:r>
                </w:p>
              </w:tc>
              <w:tc>
                <w:tcPr>
                  <w:tcW w:w="163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2008.04.03</w:t>
                  </w: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3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9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Иргэн</w:t>
                  </w:r>
                </w:p>
              </w:tc>
              <w:tc>
                <w:tcPr>
                  <w:tcW w:w="11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Монгол</w:t>
                  </w:r>
                </w:p>
              </w:tc>
              <w:tc>
                <w:tcPr>
                  <w:tcW w:w="159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Шагдарсүрэн</w:t>
                  </w:r>
                </w:p>
              </w:tc>
              <w:tc>
                <w:tcPr>
                  <w:tcW w:w="1678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Энхбаяр</w:t>
                  </w:r>
                </w:p>
              </w:tc>
              <w:tc>
                <w:tcPr>
                  <w:tcW w:w="163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2008.04.03</w:t>
                  </w: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3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9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Иргэн</w:t>
                  </w:r>
                </w:p>
              </w:tc>
              <w:tc>
                <w:tcPr>
                  <w:tcW w:w="11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Монгол</w:t>
                  </w:r>
                </w:p>
              </w:tc>
              <w:tc>
                <w:tcPr>
                  <w:tcW w:w="159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Шагдарсүрэн</w:t>
                  </w:r>
                </w:p>
              </w:tc>
              <w:tc>
                <w:tcPr>
                  <w:tcW w:w="1678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Баярсайхан</w:t>
                  </w:r>
                </w:p>
              </w:tc>
              <w:tc>
                <w:tcPr>
                  <w:tcW w:w="163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2008.04.03</w:t>
                  </w: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3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9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Иргэн</w:t>
                  </w:r>
                </w:p>
              </w:tc>
              <w:tc>
                <w:tcPr>
                  <w:tcW w:w="11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Монгол</w:t>
                  </w:r>
                </w:p>
              </w:tc>
              <w:tc>
                <w:tcPr>
                  <w:tcW w:w="159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Амарбаяр</w:t>
                  </w:r>
                </w:p>
              </w:tc>
              <w:tc>
                <w:tcPr>
                  <w:tcW w:w="1678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Шагдарсүрэн</w:t>
                  </w:r>
                </w:p>
              </w:tc>
              <w:tc>
                <w:tcPr>
                  <w:tcW w:w="163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2008.04.03</w:t>
                  </w: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3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9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Иргэн</w:t>
                  </w:r>
                </w:p>
              </w:tc>
              <w:tc>
                <w:tcPr>
                  <w:tcW w:w="11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Монгол</w:t>
                  </w:r>
                </w:p>
              </w:tc>
              <w:tc>
                <w:tcPr>
                  <w:tcW w:w="159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Шагдарсүрэн</w:t>
                  </w:r>
                </w:p>
              </w:tc>
              <w:tc>
                <w:tcPr>
                  <w:tcW w:w="1678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Уламбаяр</w:t>
                  </w:r>
                </w:p>
              </w:tc>
              <w:tc>
                <w:tcPr>
                  <w:tcW w:w="163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2008.04.03</w:t>
                  </w:r>
                </w:p>
              </w:tc>
            </w:tr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3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91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Иргэн</w:t>
                  </w:r>
                </w:p>
              </w:tc>
              <w:tc>
                <w:tcPr>
                  <w:tcW w:w="118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Монгол</w:t>
                  </w:r>
                </w:p>
              </w:tc>
              <w:tc>
                <w:tcPr>
                  <w:tcW w:w="159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1678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Бусад Гишүүд</w:t>
                  </w:r>
                </w:p>
              </w:tc>
              <w:tc>
                <w:tcPr>
                  <w:tcW w:w="1636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ind w:left="0" w:firstLine="0"/>
                    <w:jc w:val="left"/>
                    <w:textAlignment w:val="top"/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caps w:val="0"/>
                      <w:color w:val="848484"/>
                      <w:spacing w:val="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2008.04.03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color w:val="000000"/>
              </w:rPr>
              <w:t xml:space="preserve"> Ногдол ашгийн талаарх мэдээлэл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lang w:val="mn-MN"/>
              </w:rPr>
              <w:t xml:space="preserve"> </w:t>
            </w:r>
          </w:p>
          <w:p>
            <w:pPr>
              <w:spacing w:after="0" w:line="240" w:lineRule="auto"/>
              <w:ind w:left="360"/>
              <w:contextualSpacing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  <w:p>
            <w:pPr>
              <w:spacing w:after="0" w:line="240" w:lineRule="auto"/>
              <w:ind w:left="360"/>
              <w:contextualSpacing/>
              <w:rPr>
                <w:rFonts w:hint="default" w:ascii="Times New Roman" w:hAnsi="Times New Roman" w:eastAsia="Calibri" w:cs="Times New Roman"/>
                <w:b/>
                <w:bCs/>
                <w:color w:val="000000"/>
                <w:lang w:val="mn-M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lang w:val="mn-MN"/>
              </w:rPr>
              <w:t>2019 оны үйл ажиллагааны ашгаас ногдол ашиг хуваарилахгүй байхаар шийдвэрлэсэн.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before="55" w:after="0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iCs/>
                <w:lang w:val="mn-M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lang w:val="mn-MN"/>
              </w:rPr>
              <w:t xml:space="preserve"> </w:t>
            </w:r>
          </w:p>
          <w:p>
            <w:pPr>
              <w:keepNext/>
              <w:spacing w:after="60" w:line="240" w:lineRule="auto"/>
              <w:ind w:left="1440" w:hanging="720"/>
              <w:outlineLvl w:val="1"/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>
            <w:pPr>
              <w:keepNext/>
              <w:spacing w:before="55" w:after="60" w:line="240" w:lineRule="auto"/>
              <w:ind w:left="720"/>
              <w:jc w:val="both"/>
              <w:outlineLvl w:val="1"/>
              <w:rPr>
                <w:rFonts w:ascii="Times New Roman" w:hAnsi="Times New Roman" w:eastAsia="Times New Roman" w:cs="Times New Roman"/>
                <w:bCs/>
                <w:iCs/>
                <w:color w:val="FF0000"/>
                <w:lang w:val="mn-MN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lang w:val="mn-MN"/>
              </w:rPr>
              <w:t>Санамж: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lang w:val="mn-MN"/>
              </w:rPr>
              <w:t xml:space="preserve"> Жилийн үйл ажиллагааны тайланд СЗХ-ны “</w:t>
            </w:r>
            <w:r>
              <w:fldChar w:fldCharType="begin"/>
            </w:r>
            <w:r>
              <w:instrText xml:space="preserve"> HYPERLINK "http://frc.mn/legal/detail?id=4790"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Cs/>
                <w:color w:val="0000FF"/>
                <w:u w:val="single"/>
                <w:lang w:val="mn-MN"/>
              </w:rPr>
              <w:t>Үнэт цаас гаргагчийн мэдээллийн ил тод байдлын журам”</w:t>
            </w:r>
            <w:r>
              <w:rPr>
                <w:rFonts w:ascii="Times New Roman" w:hAnsi="Times New Roman" w:eastAsia="Times New Roman" w:cs="Times New Roman"/>
                <w:iCs/>
                <w:color w:val="0000FF"/>
                <w:u w:val="single"/>
                <w:lang w:val="mn-MN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Cs/>
                <w:color w:val="000000"/>
                <w:lang w:val="mn-MN"/>
              </w:rPr>
              <w:t>-ын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lang w:val="mn-MN"/>
              </w:rPr>
              <w:t>2.3-т заасан мэдээллийг дээрх дэд сэдвийн хүрээнд бүрэн оруулна. Харин х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lang w:val="mn-MN"/>
              </w:rPr>
      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430"/>
    <w:multiLevelType w:val="multilevel"/>
    <w:tmpl w:val="2BA1743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83"/>
    <w:rsid w:val="00004BB9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  <w:rsid w:val="06E2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5</TotalTime>
  <ScaleCrop>false</ScaleCrop>
  <LinksUpToDate>false</LinksUpToDate>
  <CharactersWithSpaces>1004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2017-08-07T06:10:00Z</dcterms:created>
  <dc:creator>Маналжав .А</dc:creator>
  <cp:lastModifiedBy>Acer</cp:lastModifiedBy>
  <dcterms:modified xsi:type="dcterms:W3CDTF">2020-03-31T08:36:03Z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